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6017" w14:textId="77777777" w:rsidR="00896556" w:rsidRPr="00E71163" w:rsidRDefault="00896556" w:rsidP="00896556">
      <w:r w:rsidRPr="00E71163">
        <w:t>SUPREME COURT OF THE STATE OF NEW YORK</w:t>
      </w:r>
    </w:p>
    <w:p w14:paraId="7B382260" w14:textId="2116914C" w:rsidR="00896556" w:rsidRPr="00E71163" w:rsidRDefault="00896556" w:rsidP="00896556">
      <w:r w:rsidRPr="00E71163">
        <w:t xml:space="preserve">COUNTY OF </w:t>
      </w:r>
      <w:r w:rsidR="0068532F">
        <w:t>NEW YORK</w:t>
      </w:r>
    </w:p>
    <w:tbl>
      <w:tblPr>
        <w:tblW w:w="0" w:type="auto"/>
        <w:jc w:val="center"/>
        <w:tblBorders>
          <w:top w:val="single" w:sz="6" w:space="0" w:color="auto"/>
          <w:bottom w:val="single" w:sz="6" w:space="0" w:color="auto"/>
          <w:right w:val="single" w:sz="6" w:space="0" w:color="auto"/>
        </w:tblBorders>
        <w:tblLayout w:type="fixed"/>
        <w:tblLook w:val="0000" w:firstRow="0" w:lastRow="0" w:firstColumn="0" w:lastColumn="0" w:noHBand="0" w:noVBand="0"/>
      </w:tblPr>
      <w:tblGrid>
        <w:gridCol w:w="4959"/>
        <w:gridCol w:w="4599"/>
      </w:tblGrid>
      <w:tr w:rsidR="00896556" w14:paraId="5EF9CB5B" w14:textId="77777777" w:rsidTr="004D24C9">
        <w:trPr>
          <w:jc w:val="center"/>
        </w:trPr>
        <w:tc>
          <w:tcPr>
            <w:tcW w:w="4959" w:type="dxa"/>
            <w:tcBorders>
              <w:top w:val="single" w:sz="6" w:space="0" w:color="auto"/>
              <w:bottom w:val="single" w:sz="6" w:space="0" w:color="auto"/>
              <w:right w:val="dashSmallGap" w:sz="4" w:space="0" w:color="auto"/>
            </w:tcBorders>
          </w:tcPr>
          <w:p w14:paraId="338BBCC7" w14:textId="77777777" w:rsidR="00896556" w:rsidRPr="00E71163" w:rsidRDefault="00896556" w:rsidP="004D24C9"/>
          <w:p w14:paraId="6664177A" w14:textId="77777777" w:rsidR="00656EDD" w:rsidRPr="00C2533F" w:rsidRDefault="00656EDD" w:rsidP="00656EDD">
            <w:pPr>
              <w:spacing w:before="240"/>
              <w:jc w:val="both"/>
              <w:rPr>
                <w:rFonts w:eastAsia="Calibri"/>
              </w:rPr>
            </w:pPr>
            <w:r>
              <w:rPr>
                <w:rFonts w:eastAsia="Calibri"/>
              </w:rPr>
              <w:t xml:space="preserve">MELANIE JOHNSON, JEREMY SCHENDEL, MICHAEL KAN, and GIANCARLOS ZAMBRANO, </w:t>
            </w:r>
            <w:r w:rsidRPr="00C2533F">
              <w:rPr>
                <w:rFonts w:eastAsia="Calibri"/>
              </w:rPr>
              <w:t>on behalf of themselves and all others similarly situated,</w:t>
            </w:r>
          </w:p>
          <w:p w14:paraId="28E58B66" w14:textId="77777777" w:rsidR="00656EDD" w:rsidRPr="00C2533F" w:rsidRDefault="00656EDD" w:rsidP="00656EDD">
            <w:pPr>
              <w:ind w:left="2160"/>
              <w:jc w:val="both"/>
              <w:rPr>
                <w:rFonts w:eastAsia="Calibri"/>
              </w:rPr>
            </w:pPr>
          </w:p>
          <w:p w14:paraId="09219E00" w14:textId="77777777" w:rsidR="00656EDD" w:rsidRPr="00C2533F" w:rsidRDefault="00656EDD" w:rsidP="00656EDD">
            <w:pPr>
              <w:ind w:left="2160"/>
              <w:jc w:val="both"/>
              <w:rPr>
                <w:rFonts w:eastAsia="Calibri"/>
              </w:rPr>
            </w:pPr>
            <w:r w:rsidRPr="00C2533F">
              <w:rPr>
                <w:rFonts w:eastAsia="Calibri"/>
              </w:rPr>
              <w:t>Plaintiffs,</w:t>
            </w:r>
          </w:p>
          <w:p w14:paraId="69B72696" w14:textId="77777777" w:rsidR="00656EDD" w:rsidRPr="00C2533F" w:rsidRDefault="00656EDD" w:rsidP="00656EDD">
            <w:pPr>
              <w:ind w:left="720"/>
              <w:jc w:val="both"/>
              <w:rPr>
                <w:rFonts w:eastAsia="Calibri"/>
              </w:rPr>
            </w:pPr>
            <w:r w:rsidRPr="00C2533F">
              <w:rPr>
                <w:rFonts w:eastAsia="Calibri"/>
              </w:rPr>
              <w:t>-v-</w:t>
            </w:r>
          </w:p>
          <w:p w14:paraId="3250385C" w14:textId="77777777" w:rsidR="00656EDD" w:rsidRPr="00C2533F" w:rsidRDefault="00656EDD" w:rsidP="00656EDD">
            <w:pPr>
              <w:jc w:val="both"/>
              <w:rPr>
                <w:rFonts w:eastAsia="Calibri"/>
              </w:rPr>
            </w:pPr>
          </w:p>
          <w:p w14:paraId="4A8F0287" w14:textId="77777777" w:rsidR="00656EDD" w:rsidRPr="00C2533F" w:rsidRDefault="00656EDD" w:rsidP="00656EDD">
            <w:pPr>
              <w:jc w:val="both"/>
            </w:pPr>
          </w:p>
          <w:p w14:paraId="6B60DE77" w14:textId="77777777" w:rsidR="00656EDD" w:rsidRPr="00C2533F" w:rsidRDefault="00656EDD" w:rsidP="00656EDD">
            <w:pPr>
              <w:jc w:val="both"/>
            </w:pPr>
          </w:p>
          <w:p w14:paraId="7E436ADF" w14:textId="77777777" w:rsidR="00656EDD" w:rsidRPr="00C2533F" w:rsidRDefault="00656EDD" w:rsidP="00656EDD">
            <w:pPr>
              <w:jc w:val="both"/>
            </w:pPr>
            <w:r>
              <w:t xml:space="preserve">781 METROPOLITAN AVE JV </w:t>
            </w:r>
            <w:r w:rsidRPr="00C2533F">
              <w:t>LLC</w:t>
            </w:r>
          </w:p>
          <w:p w14:paraId="7B67DFB9" w14:textId="77777777" w:rsidR="00656EDD" w:rsidRPr="00C2533F" w:rsidRDefault="00656EDD" w:rsidP="00656EDD">
            <w:pPr>
              <w:jc w:val="both"/>
            </w:pPr>
          </w:p>
          <w:p w14:paraId="4E591E10" w14:textId="77777777" w:rsidR="006B0DCC" w:rsidRDefault="00656EDD" w:rsidP="00656EDD">
            <w:pPr>
              <w:ind w:left="2160"/>
              <w:rPr>
                <w:rFonts w:eastAsia="Calibri"/>
              </w:rPr>
            </w:pPr>
            <w:r w:rsidRPr="00C2533F">
              <w:rPr>
                <w:rFonts w:eastAsia="Calibri"/>
              </w:rPr>
              <w:t>Defendant.</w:t>
            </w:r>
          </w:p>
          <w:p w14:paraId="3C5C3C7E" w14:textId="5AFEC001" w:rsidR="00656EDD" w:rsidRPr="00E71163" w:rsidRDefault="00656EDD" w:rsidP="00656EDD">
            <w:pPr>
              <w:ind w:left="2160"/>
            </w:pPr>
          </w:p>
        </w:tc>
        <w:tc>
          <w:tcPr>
            <w:tcW w:w="4599" w:type="dxa"/>
            <w:tcBorders>
              <w:top w:val="nil"/>
              <w:left w:val="dashSmallGap" w:sz="4" w:space="0" w:color="auto"/>
              <w:bottom w:val="nil"/>
              <w:right w:val="nil"/>
            </w:tcBorders>
            <w:vAlign w:val="center"/>
          </w:tcPr>
          <w:p w14:paraId="398976FB" w14:textId="5CBDF089" w:rsidR="00896556" w:rsidRPr="00E71163" w:rsidRDefault="00896556" w:rsidP="004D24C9">
            <w:pPr>
              <w:tabs>
                <w:tab w:val="left" w:pos="252"/>
              </w:tabs>
              <w:ind w:left="792" w:hanging="540"/>
              <w:rPr>
                <w:u w:val="single"/>
              </w:rPr>
            </w:pPr>
            <w:r w:rsidRPr="00E71163">
              <w:t xml:space="preserve">Index No.: </w:t>
            </w:r>
            <w:r w:rsidR="00656EDD">
              <w:t>155763/2021</w:t>
            </w:r>
          </w:p>
          <w:p w14:paraId="69A6406A" w14:textId="77777777" w:rsidR="00896556" w:rsidRPr="00E71163" w:rsidRDefault="00896556" w:rsidP="004D24C9">
            <w:pPr>
              <w:tabs>
                <w:tab w:val="left" w:pos="252"/>
              </w:tabs>
              <w:ind w:left="792" w:hanging="540"/>
            </w:pPr>
          </w:p>
          <w:p w14:paraId="2A021C6B" w14:textId="77777777" w:rsidR="00896556" w:rsidRPr="00E71163" w:rsidRDefault="00896556" w:rsidP="004D24C9">
            <w:pPr>
              <w:tabs>
                <w:tab w:val="left" w:pos="252"/>
              </w:tabs>
              <w:ind w:left="792" w:hanging="540"/>
            </w:pPr>
          </w:p>
          <w:p w14:paraId="2E08FCA7" w14:textId="77777777" w:rsidR="00896556" w:rsidRPr="00E71163" w:rsidRDefault="00896556" w:rsidP="00896556">
            <w:pPr>
              <w:tabs>
                <w:tab w:val="left" w:pos="252"/>
              </w:tabs>
              <w:ind w:left="252"/>
              <w:rPr>
                <w:b/>
                <w:caps/>
                <w:u w:val="single"/>
              </w:rPr>
            </w:pPr>
            <w:r w:rsidRPr="00E71163">
              <w:rPr>
                <w:b/>
                <w:u w:val="single"/>
              </w:rPr>
              <w:t>[Proposed] Final Order and Judgment Approving Class Action Settlement</w:t>
            </w:r>
          </w:p>
          <w:p w14:paraId="29D16CF5" w14:textId="77777777" w:rsidR="00896556" w:rsidRPr="00E71163" w:rsidRDefault="00896556" w:rsidP="004D24C9">
            <w:pPr>
              <w:tabs>
                <w:tab w:val="left" w:pos="252"/>
              </w:tabs>
              <w:ind w:left="252"/>
              <w:rPr>
                <w:b/>
                <w:caps/>
                <w:color w:val="000000"/>
                <w:u w:val="single"/>
              </w:rPr>
            </w:pPr>
          </w:p>
          <w:p w14:paraId="624DC81F" w14:textId="77777777" w:rsidR="00896556" w:rsidRPr="00E71163" w:rsidRDefault="00896556" w:rsidP="004D24C9">
            <w:pPr>
              <w:ind w:left="252" w:hanging="540"/>
              <w:rPr>
                <w:color w:val="000000"/>
              </w:rPr>
            </w:pPr>
          </w:p>
          <w:p w14:paraId="5D033449" w14:textId="77777777" w:rsidR="00896556" w:rsidRPr="00E71163" w:rsidRDefault="00896556" w:rsidP="004D24C9">
            <w:pPr>
              <w:pStyle w:val="Heading6"/>
              <w:numPr>
                <w:ilvl w:val="0"/>
                <w:numId w:val="0"/>
              </w:numPr>
              <w:ind w:left="3600"/>
              <w:rPr>
                <w:color w:val="000000"/>
                <w:szCs w:val="24"/>
              </w:rPr>
            </w:pPr>
          </w:p>
        </w:tc>
      </w:tr>
    </w:tbl>
    <w:p w14:paraId="2FFB3F0C" w14:textId="77777777" w:rsidR="00896556" w:rsidRPr="00E71163" w:rsidRDefault="00896556" w:rsidP="00896556">
      <w:pPr>
        <w:pStyle w:val="BodyText"/>
        <w:rPr>
          <w:szCs w:val="24"/>
        </w:rPr>
      </w:pPr>
    </w:p>
    <w:p w14:paraId="54AE72CB" w14:textId="77777777" w:rsidR="00896556" w:rsidRPr="00E71163" w:rsidRDefault="00896556" w:rsidP="00896556">
      <w:pPr>
        <w:autoSpaceDE w:val="0"/>
        <w:autoSpaceDN w:val="0"/>
        <w:adjustRightInd w:val="0"/>
        <w:snapToGrid w:val="0"/>
      </w:pPr>
    </w:p>
    <w:p w14:paraId="4376C1DE" w14:textId="77777777" w:rsidR="00896556" w:rsidRPr="00E71163" w:rsidRDefault="00896556" w:rsidP="00896556">
      <w:pPr>
        <w:autoSpaceDE w:val="0"/>
        <w:autoSpaceDN w:val="0"/>
        <w:adjustRightInd w:val="0"/>
        <w:snapToGrid w:val="0"/>
        <w:rPr>
          <w:color w:val="000000"/>
        </w:rPr>
      </w:pPr>
      <w:r w:rsidRPr="00E71163">
        <w:rPr>
          <w:b/>
          <w:color w:val="000000"/>
        </w:rPr>
        <w:t>WHEREAS</w:t>
      </w:r>
      <w:r w:rsidRPr="00E71163">
        <w:rPr>
          <w:color w:val="000000"/>
        </w:rPr>
        <w:t>:</w:t>
      </w:r>
    </w:p>
    <w:p w14:paraId="3DF83F9C" w14:textId="77777777" w:rsidR="00896556" w:rsidRPr="00E71163" w:rsidRDefault="00896556" w:rsidP="00896556">
      <w:pPr>
        <w:autoSpaceDE w:val="0"/>
        <w:autoSpaceDN w:val="0"/>
        <w:adjustRightInd w:val="0"/>
        <w:snapToGrid w:val="0"/>
        <w:rPr>
          <w:color w:val="000000"/>
        </w:rPr>
      </w:pPr>
    </w:p>
    <w:p w14:paraId="77AD14F7" w14:textId="3C800E7E" w:rsidR="00896556" w:rsidRPr="00E71163" w:rsidRDefault="00896556" w:rsidP="00896556">
      <w:pPr>
        <w:pStyle w:val="ListParagraph"/>
        <w:numPr>
          <w:ilvl w:val="0"/>
          <w:numId w:val="3"/>
        </w:numPr>
        <w:autoSpaceDE w:val="0"/>
        <w:autoSpaceDN w:val="0"/>
        <w:adjustRightInd w:val="0"/>
        <w:snapToGrid w:val="0"/>
        <w:spacing w:line="480" w:lineRule="auto"/>
        <w:ind w:left="0" w:firstLine="720"/>
        <w:contextualSpacing w:val="0"/>
        <w:rPr>
          <w:color w:val="000000"/>
        </w:rPr>
      </w:pPr>
      <w:r w:rsidRPr="00E71163">
        <w:rPr>
          <w:color w:val="000000"/>
        </w:rPr>
        <w:t xml:space="preserve">On </w:t>
      </w:r>
      <w:r w:rsidRPr="00E71163">
        <w:rPr>
          <w:b/>
          <w:color w:val="000000"/>
        </w:rPr>
        <w:t>[</w:t>
      </w:r>
      <w:r w:rsidRPr="00E71163">
        <w:rPr>
          <w:b/>
          <w:color w:val="000000"/>
          <w:highlight w:val="yellow"/>
        </w:rPr>
        <w:t>INSERT DATE</w:t>
      </w:r>
      <w:r w:rsidRPr="00E71163">
        <w:rPr>
          <w:b/>
          <w:color w:val="000000"/>
        </w:rPr>
        <w:t>]</w:t>
      </w:r>
      <w:r w:rsidR="002E2E04">
        <w:rPr>
          <w:color w:val="000000"/>
        </w:rPr>
        <w:t>, Plaintiff</w:t>
      </w:r>
      <w:r w:rsidR="006B0DCC">
        <w:rPr>
          <w:color w:val="000000"/>
        </w:rPr>
        <w:t>s</w:t>
      </w:r>
      <w:r w:rsidRPr="00E71163">
        <w:rPr>
          <w:color w:val="000000"/>
        </w:rPr>
        <w:t xml:space="preserve"> applied to the Court pursuant to Civil Practice Law and Rules (“CPLR”) Article 9 for an order preliminarily approving the settlement of this litigation (the “Action”) in accordance with the Stipulation and Agreement of Settlement dated [</w:t>
      </w:r>
      <w:r w:rsidRPr="00E71163">
        <w:rPr>
          <w:b/>
          <w:color w:val="000000"/>
          <w:highlight w:val="yellow"/>
        </w:rPr>
        <w:t>INSERT DATE</w:t>
      </w:r>
      <w:r w:rsidRPr="00E71163">
        <w:rPr>
          <w:color w:val="000000"/>
        </w:rPr>
        <w:t>] (the “Stipulation”) that, together with the exhibits annexed thereto, sets forth the terms and conditions for a proposed settlement of this Action (the “Settlement”) and for a judgment dismissing this Action</w:t>
      </w:r>
      <w:r w:rsidR="0068532F">
        <w:rPr>
          <w:color w:val="000000"/>
        </w:rPr>
        <w:t xml:space="preserve"> </w:t>
      </w:r>
      <w:r w:rsidRPr="00E71163">
        <w:rPr>
          <w:color w:val="000000"/>
        </w:rPr>
        <w:t>with prejudice upon the terms and conditions set forth in the Stipulation.</w:t>
      </w:r>
    </w:p>
    <w:p w14:paraId="460A4B01" w14:textId="23B2ADB4" w:rsidR="00896556" w:rsidRPr="00E71163" w:rsidRDefault="00896556" w:rsidP="00896556">
      <w:pPr>
        <w:pStyle w:val="ListParagraph"/>
        <w:numPr>
          <w:ilvl w:val="0"/>
          <w:numId w:val="3"/>
        </w:numPr>
        <w:autoSpaceDE w:val="0"/>
        <w:autoSpaceDN w:val="0"/>
        <w:adjustRightInd w:val="0"/>
        <w:snapToGrid w:val="0"/>
        <w:spacing w:line="480" w:lineRule="auto"/>
        <w:ind w:left="0" w:firstLine="720"/>
        <w:contextualSpacing w:val="0"/>
        <w:rPr>
          <w:color w:val="000000"/>
        </w:rPr>
      </w:pPr>
      <w:r w:rsidRPr="00E71163">
        <w:rPr>
          <w:color w:val="000000"/>
        </w:rPr>
        <w:t xml:space="preserve">In the Preliminary Approval Order of the Settlement of the Class Action, dated </w:t>
      </w:r>
      <w:r w:rsidRPr="00E71163">
        <w:rPr>
          <w:b/>
          <w:color w:val="000000"/>
        </w:rPr>
        <w:t>[</w:t>
      </w:r>
      <w:r w:rsidRPr="00E71163">
        <w:rPr>
          <w:b/>
          <w:color w:val="000000"/>
          <w:highlight w:val="yellow"/>
        </w:rPr>
        <w:t>INSERT DATE</w:t>
      </w:r>
      <w:r w:rsidRPr="00E71163">
        <w:rPr>
          <w:b/>
          <w:color w:val="000000"/>
        </w:rPr>
        <w:t>]</w:t>
      </w:r>
      <w:r w:rsidRPr="00E71163">
        <w:rPr>
          <w:color w:val="000000"/>
        </w:rPr>
        <w:t xml:space="preserve"> (the “Preliminary Approval Order”), this Court, among other things</w:t>
      </w:r>
      <w:r w:rsidR="00302E9D">
        <w:rPr>
          <w:color w:val="000000"/>
        </w:rPr>
        <w:t>: (</w:t>
      </w:r>
      <w:r w:rsidRPr="00E71163">
        <w:rPr>
          <w:color w:val="000000"/>
        </w:rPr>
        <w:t>i) preliminar</w:t>
      </w:r>
      <w:r w:rsidR="00302E9D">
        <w:rPr>
          <w:color w:val="000000"/>
        </w:rPr>
        <w:t>ily approved the Settlement; (ii</w:t>
      </w:r>
      <w:r w:rsidRPr="00E71163">
        <w:rPr>
          <w:color w:val="000000"/>
        </w:rPr>
        <w:t xml:space="preserve">) scheduled a hearing for </w:t>
      </w:r>
      <w:r w:rsidRPr="00E71163">
        <w:rPr>
          <w:b/>
          <w:color w:val="000000"/>
        </w:rPr>
        <w:t>[</w:t>
      </w:r>
      <w:r w:rsidRPr="00E71163">
        <w:rPr>
          <w:b/>
          <w:color w:val="000000"/>
          <w:highlight w:val="yellow"/>
        </w:rPr>
        <w:t>INSERT DATE</w:t>
      </w:r>
      <w:r w:rsidRPr="00E71163">
        <w:rPr>
          <w:b/>
          <w:color w:val="000000"/>
        </w:rPr>
        <w:t>]</w:t>
      </w:r>
      <w:r w:rsidRPr="00E71163">
        <w:rPr>
          <w:color w:val="000000"/>
        </w:rPr>
        <w:t xml:space="preserve"> (the “Settlement Hearing”) to consider whether to approve the Settlement as being fair, reasonable, adequate, and consistent with the New York City Rent Stabilization Law (“RSL”) and New York </w:t>
      </w:r>
      <w:r w:rsidRPr="00E71163">
        <w:rPr>
          <w:color w:val="000000"/>
        </w:rPr>
        <w:lastRenderedPageBreak/>
        <w:t>City Rent Stabilization Code (“RSC”), to enter final judgment thereon and to consider an award of attorneys</w:t>
      </w:r>
      <w:r>
        <w:rPr>
          <w:color w:val="000000"/>
        </w:rPr>
        <w:t>’</w:t>
      </w:r>
      <w:r w:rsidR="00302E9D">
        <w:rPr>
          <w:color w:val="000000"/>
        </w:rPr>
        <w:t xml:space="preserve"> fees and expenses; and (iii</w:t>
      </w:r>
      <w:r w:rsidRPr="00E71163">
        <w:rPr>
          <w:color w:val="000000"/>
        </w:rPr>
        <w:t xml:space="preserve">) directed that notice of the pendency of the Action, the proposed Settlement and the Settlement Hearing, substantially in the form annexed as Exhibit </w:t>
      </w:r>
      <w:r w:rsidR="00302E9D">
        <w:rPr>
          <w:color w:val="000000"/>
        </w:rPr>
        <w:t>[</w:t>
      </w:r>
      <w:r w:rsidR="00302E9D" w:rsidRPr="00302E9D">
        <w:rPr>
          <w:color w:val="000000"/>
          <w:highlight w:val="yellow"/>
        </w:rPr>
        <w:t>X</w:t>
      </w:r>
      <w:r w:rsidR="00302E9D">
        <w:rPr>
          <w:color w:val="000000"/>
        </w:rPr>
        <w:t>]</w:t>
      </w:r>
      <w:r w:rsidRPr="00E71163">
        <w:rPr>
          <w:color w:val="000000"/>
        </w:rPr>
        <w:t xml:space="preserve"> to the Stipulation (the “Notice”), be mailed </w:t>
      </w:r>
      <w:r w:rsidR="0068532F">
        <w:rPr>
          <w:color w:val="000000"/>
        </w:rPr>
        <w:t xml:space="preserve">(and to the extent possible, emailed, </w:t>
      </w:r>
      <w:r w:rsidRPr="00E71163">
        <w:rPr>
          <w:color w:val="000000"/>
        </w:rPr>
        <w:t>to all Class Members who could be identified with reasonable effort</w:t>
      </w:r>
      <w:r w:rsidR="00302E9D">
        <w:rPr>
          <w:color w:val="000000"/>
        </w:rPr>
        <w:t>.</w:t>
      </w:r>
    </w:p>
    <w:p w14:paraId="13EC4832" w14:textId="1C42FA1A" w:rsidR="00896556" w:rsidRPr="00E71163" w:rsidRDefault="00896556" w:rsidP="00896556">
      <w:pPr>
        <w:pStyle w:val="ListParagraph"/>
        <w:numPr>
          <w:ilvl w:val="0"/>
          <w:numId w:val="3"/>
        </w:numPr>
        <w:autoSpaceDE w:val="0"/>
        <w:autoSpaceDN w:val="0"/>
        <w:adjustRightInd w:val="0"/>
        <w:snapToGrid w:val="0"/>
        <w:spacing w:line="480" w:lineRule="auto"/>
        <w:ind w:left="0" w:firstLine="720"/>
        <w:contextualSpacing w:val="0"/>
        <w:rPr>
          <w:color w:val="000000"/>
        </w:rPr>
      </w:pPr>
      <w:r w:rsidRPr="00E71163">
        <w:rPr>
          <w:color w:val="000000"/>
        </w:rPr>
        <w:t>Lead Counsel has submitted an a</w:t>
      </w:r>
      <w:r w:rsidR="0068532F">
        <w:rPr>
          <w:color w:val="000000"/>
        </w:rPr>
        <w:t>ffirmation</w:t>
      </w:r>
      <w:r w:rsidRPr="00E71163">
        <w:rPr>
          <w:color w:val="000000"/>
        </w:rPr>
        <w:t xml:space="preserve"> attesting that the Notice </w:t>
      </w:r>
      <w:r w:rsidR="00302E9D">
        <w:rPr>
          <w:color w:val="000000"/>
        </w:rPr>
        <w:t>was</w:t>
      </w:r>
      <w:r w:rsidRPr="00E71163">
        <w:rPr>
          <w:color w:val="000000"/>
        </w:rPr>
        <w:t xml:space="preserve"> disseminated in accordance with the Preliminary Approval Order.</w:t>
      </w:r>
    </w:p>
    <w:p w14:paraId="6A9A700B" w14:textId="77777777" w:rsidR="00896556" w:rsidRPr="00E71163" w:rsidRDefault="00896556" w:rsidP="00896556">
      <w:pPr>
        <w:pStyle w:val="ListParagraph"/>
        <w:numPr>
          <w:ilvl w:val="0"/>
          <w:numId w:val="3"/>
        </w:numPr>
        <w:autoSpaceDE w:val="0"/>
        <w:autoSpaceDN w:val="0"/>
        <w:adjustRightInd w:val="0"/>
        <w:snapToGrid w:val="0"/>
        <w:spacing w:line="480" w:lineRule="auto"/>
        <w:ind w:left="0" w:firstLine="720"/>
        <w:contextualSpacing w:val="0"/>
        <w:rPr>
          <w:color w:val="000000"/>
        </w:rPr>
      </w:pPr>
      <w:r w:rsidRPr="00E71163">
        <w:rPr>
          <w:color w:val="000000"/>
        </w:rPr>
        <w:t>Lead Counsel has submitted a list of all Class Members who properly and timely requested exclusion from the Class [</w:t>
      </w:r>
      <w:r w:rsidRPr="00E71163">
        <w:rPr>
          <w:color w:val="000000"/>
          <w:highlight w:val="yellow"/>
        </w:rPr>
        <w:t>a copy of which is attached as Exhibit 1 hereto</w:t>
      </w:r>
      <w:r w:rsidRPr="00E71163">
        <w:rPr>
          <w:color w:val="000000"/>
        </w:rPr>
        <w:t>] [</w:t>
      </w:r>
      <w:r w:rsidRPr="00E71163">
        <w:rPr>
          <w:color w:val="000000"/>
          <w:highlight w:val="yellow"/>
        </w:rPr>
        <w:t>or alternatively: No Class Member has timely requested exclusion from the Class</w:t>
      </w:r>
      <w:r w:rsidRPr="00E71163">
        <w:rPr>
          <w:color w:val="000000"/>
        </w:rPr>
        <w:t xml:space="preserve">]. </w:t>
      </w:r>
    </w:p>
    <w:p w14:paraId="41C93395" w14:textId="77777777" w:rsidR="00896556" w:rsidRPr="00E71163" w:rsidRDefault="00896556" w:rsidP="00896556">
      <w:pPr>
        <w:pStyle w:val="ListParagraph"/>
        <w:numPr>
          <w:ilvl w:val="0"/>
          <w:numId w:val="3"/>
        </w:numPr>
        <w:autoSpaceDE w:val="0"/>
        <w:autoSpaceDN w:val="0"/>
        <w:adjustRightInd w:val="0"/>
        <w:snapToGrid w:val="0"/>
        <w:spacing w:line="480" w:lineRule="auto"/>
        <w:ind w:left="0" w:firstLine="720"/>
        <w:contextualSpacing w:val="0"/>
        <w:rPr>
          <w:color w:val="000000"/>
        </w:rPr>
      </w:pPr>
      <w:r w:rsidRPr="00E71163">
        <w:rPr>
          <w:color w:val="000000"/>
        </w:rPr>
        <w:t xml:space="preserve">The Court held a Settlement Hearing on </w:t>
      </w:r>
      <w:r w:rsidRPr="00E71163">
        <w:rPr>
          <w:color w:val="000000"/>
          <w:highlight w:val="yellow"/>
        </w:rPr>
        <w:t>____________</w:t>
      </w:r>
      <w:r w:rsidRPr="00E71163">
        <w:rPr>
          <w:color w:val="000000"/>
        </w:rPr>
        <w:t xml:space="preserve"> and has considered all prior proceedings in the Action, the Stipulation and the exhibits annexed thereto, any submissions made in connection with the proposed Settlement and all proceedings during the Settlement Hearing, and no party has terminated the Stipulation in accordance with paragraph 41 thereof.</w:t>
      </w:r>
    </w:p>
    <w:p w14:paraId="5ECCAFF2" w14:textId="77777777" w:rsidR="00896556" w:rsidRPr="00E71163" w:rsidRDefault="00896556" w:rsidP="00896556">
      <w:pPr>
        <w:autoSpaceDE w:val="0"/>
        <w:autoSpaceDN w:val="0"/>
        <w:adjustRightInd w:val="0"/>
        <w:snapToGrid w:val="0"/>
        <w:ind w:firstLine="720"/>
        <w:rPr>
          <w:color w:val="000000"/>
        </w:rPr>
      </w:pPr>
      <w:r w:rsidRPr="00E71163">
        <w:rPr>
          <w:b/>
          <w:color w:val="000000"/>
        </w:rPr>
        <w:t>NOW, IT IS HEREBY ORDERED, ADJUDGED AND DECREED</w:t>
      </w:r>
      <w:r w:rsidRPr="00E71163">
        <w:rPr>
          <w:color w:val="000000"/>
        </w:rPr>
        <w:t xml:space="preserve"> as follows:</w:t>
      </w:r>
    </w:p>
    <w:p w14:paraId="6D86C86E" w14:textId="77777777" w:rsidR="00896556" w:rsidRPr="00E71163" w:rsidRDefault="00896556" w:rsidP="00896556">
      <w:pPr>
        <w:autoSpaceDE w:val="0"/>
        <w:autoSpaceDN w:val="0"/>
        <w:adjustRightInd w:val="0"/>
        <w:snapToGrid w:val="0"/>
        <w:rPr>
          <w:color w:val="000000"/>
        </w:rPr>
      </w:pPr>
    </w:p>
    <w:p w14:paraId="66C404EB"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To the extent not defined herein, this Order and Final Judgment incorporates by reference the definitions in the Stipulation, and all terms not otherwise defined herein shall have the same meanings as set forth in the Stipulation.</w:t>
      </w:r>
    </w:p>
    <w:p w14:paraId="08FD8703" w14:textId="77777777" w:rsidR="00896556" w:rsidRPr="00E71163" w:rsidRDefault="00896556" w:rsidP="00896556">
      <w:pPr>
        <w:autoSpaceDE w:val="0"/>
        <w:autoSpaceDN w:val="0"/>
        <w:adjustRightInd w:val="0"/>
        <w:snapToGrid w:val="0"/>
        <w:spacing w:line="480" w:lineRule="auto"/>
        <w:jc w:val="center"/>
        <w:rPr>
          <w:b/>
          <w:color w:val="000000"/>
          <w:u w:val="single"/>
        </w:rPr>
      </w:pPr>
      <w:r w:rsidRPr="00E71163">
        <w:rPr>
          <w:b/>
          <w:color w:val="000000"/>
          <w:u w:val="single"/>
        </w:rPr>
        <w:t>NOTICE</w:t>
      </w:r>
    </w:p>
    <w:p w14:paraId="01313730"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The Court hereby determines that the Notice and Summary Notice complied</w:t>
      </w:r>
      <w:r w:rsidR="002E2E04">
        <w:rPr>
          <w:color w:val="000000"/>
        </w:rPr>
        <w:t xml:space="preserve"> with the requirements of CPLR</w:t>
      </w:r>
      <w:r w:rsidRPr="00E71163">
        <w:rPr>
          <w:color w:val="000000"/>
        </w:rPr>
        <w:t xml:space="preserve"> 904, 907 and 908 and due process and were the best notice practicable under the circumstances and constituted due and sufficient notice to all persons entitled thereto, </w:t>
      </w:r>
      <w:r w:rsidRPr="00E71163">
        <w:rPr>
          <w:color w:val="000000"/>
        </w:rPr>
        <w:lastRenderedPageBreak/>
        <w:t>including individual notice to all Class Members who could be located through reasonable effort. The Notice and Summary Notice provided due and adequate notice of these proceedings, the Settlement</w:t>
      </w:r>
      <w:r w:rsidR="00302E9D">
        <w:rPr>
          <w:color w:val="000000"/>
        </w:rPr>
        <w:t>, an</w:t>
      </w:r>
      <w:r w:rsidRPr="00E71163">
        <w:rPr>
          <w:color w:val="000000"/>
        </w:rPr>
        <w:t xml:space="preserve"> award o</w:t>
      </w:r>
      <w:r w:rsidR="00302E9D">
        <w:rPr>
          <w:color w:val="000000"/>
        </w:rPr>
        <w:t>f attorneys’ fees and expenses</w:t>
      </w:r>
      <w:r w:rsidRPr="00E71163">
        <w:rPr>
          <w:color w:val="000000"/>
        </w:rPr>
        <w:t>, and the other matters set forth therein, to all persons entitled to such notice.</w:t>
      </w:r>
    </w:p>
    <w:p w14:paraId="581EEFA6"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Due and adequate notice of the proceedings having been given to the Class Members, and a full opportunity having been offered to the Class Members to object to the proposed Settlement, to participate in the Settlement Hearing thereon or to request exclusion from the Class, it is hereby determined that all Class Members who have not requested exclusion (except as otherwise set forth in the Stipulation) are bound by this Order and Final Judgment (whether or not any Class Member has objected to the Settlement) and are barred from contesting the Stipulation, Settlement or this Order and Final Judgment.</w:t>
      </w:r>
    </w:p>
    <w:p w14:paraId="35DC8A86"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Those persons identified in Exhibit 1 hereto shall be excluded from the Class and any benefits under the Settlement and shall not be bound by the Stipulation except as otherwise set forth therein. [</w:t>
      </w:r>
      <w:r w:rsidRPr="00E71163">
        <w:rPr>
          <w:color w:val="000000"/>
          <w:highlight w:val="yellow"/>
        </w:rPr>
        <w:t>Alternatively: No Class Member has timely requested exclusion from the Class</w:t>
      </w:r>
      <w:r w:rsidRPr="00E71163">
        <w:rPr>
          <w:color w:val="000000"/>
        </w:rPr>
        <w:t>.]</w:t>
      </w:r>
    </w:p>
    <w:p w14:paraId="68BB061A" w14:textId="77777777" w:rsidR="00896556" w:rsidRPr="00E71163" w:rsidRDefault="00896556" w:rsidP="00896556">
      <w:pPr>
        <w:autoSpaceDE w:val="0"/>
        <w:autoSpaceDN w:val="0"/>
        <w:adjustRightInd w:val="0"/>
        <w:snapToGrid w:val="0"/>
        <w:spacing w:line="480" w:lineRule="auto"/>
        <w:jc w:val="center"/>
        <w:rPr>
          <w:b/>
          <w:color w:val="000000"/>
          <w:u w:val="single"/>
        </w:rPr>
      </w:pPr>
      <w:r w:rsidRPr="00E71163">
        <w:rPr>
          <w:b/>
          <w:color w:val="000000"/>
          <w:u w:val="single"/>
        </w:rPr>
        <w:t>APPROVAL OF THE SETTLEMENT</w:t>
      </w:r>
    </w:p>
    <w:p w14:paraId="69E601F6"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 xml:space="preserve">Pursuant to CPLR 907 and 908, the Court finds that the Settlement as set forth in the Stipulation is in all respects fair, reasonable and adequate to each of the Releasing Parties and each Class Member and consistent with the RSL and RSC, and the Settlement is hereby approved by the Court.  In making this determination, the Court has considered, among other things, the benefits conferred on the Class by the Settlement, the risks faced by the Class in establishing class certification, liability and damages, and the value of settlement now in comparison to the likely probable duration, complexity and further expense of this litigation in </w:t>
      </w:r>
      <w:r w:rsidRPr="00E71163">
        <w:rPr>
          <w:color w:val="000000"/>
        </w:rPr>
        <w:lastRenderedPageBreak/>
        <w:t>the absence of a settlement.  The Court further finds that the Settlement has been the product of arm’s-length negotiations and has been entered into in good faith.  The Parties thereto are directed to consummate the Settlement in accordance with the terms and conditions of the Stipulation.</w:t>
      </w:r>
    </w:p>
    <w:p w14:paraId="37E63780"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In determining that the Settlement is in all respects fair, reasonable and adequate to each of the Releasing Parties and each member of the Class, and in approving the Settlement, the Court has considered that no [</w:t>
      </w:r>
      <w:r w:rsidRPr="00E71163">
        <w:rPr>
          <w:color w:val="000000"/>
          <w:highlight w:val="yellow"/>
        </w:rPr>
        <w:t>alternatively: X</w:t>
      </w:r>
      <w:r w:rsidRPr="00E71163">
        <w:rPr>
          <w:color w:val="000000"/>
        </w:rPr>
        <w:t>] objections have been raised by Class Members to the Settlement.</w:t>
      </w:r>
    </w:p>
    <w:p w14:paraId="15EBEA04" w14:textId="463F52A9" w:rsidR="00896556" w:rsidRPr="00E71163" w:rsidRDefault="00746BD8"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Pr>
          <w:color w:val="000000"/>
        </w:rPr>
        <w:t>The</w:t>
      </w:r>
      <w:r w:rsidR="006B0DCC">
        <w:rPr>
          <w:color w:val="000000"/>
        </w:rPr>
        <w:t xml:space="preserve"> </w:t>
      </w:r>
      <w:r>
        <w:rPr>
          <w:color w:val="000000"/>
        </w:rPr>
        <w:t>Complaint against Defendant</w:t>
      </w:r>
      <w:r w:rsidR="005020E4">
        <w:rPr>
          <w:color w:val="000000"/>
        </w:rPr>
        <w:t xml:space="preserve">s </w:t>
      </w:r>
      <w:r w:rsidR="00896556" w:rsidRPr="00E71163">
        <w:rPr>
          <w:color w:val="000000"/>
        </w:rPr>
        <w:t>in this Action is dismissed on the merits and with prejudice, with each party to bear his, her or its own costs, except for the payment of the fees and costs of the Claims Administrator previously agreed to by the Parties and hereby approved by the Court, and the payment of the attorneys’ fees and reimbursement of expenses and the Incentive Award to Plaintiff</w:t>
      </w:r>
      <w:r w:rsidR="006B0DCC">
        <w:rPr>
          <w:color w:val="000000"/>
        </w:rPr>
        <w:t>s</w:t>
      </w:r>
      <w:r w:rsidR="00896556" w:rsidRPr="00E71163">
        <w:rPr>
          <w:color w:val="000000"/>
        </w:rPr>
        <w:t xml:space="preserve"> as otherwise provided for in Paragraph 10 below.</w:t>
      </w:r>
    </w:p>
    <w:p w14:paraId="167D5DFE" w14:textId="77777777" w:rsidR="00896556" w:rsidRPr="00E71163" w:rsidRDefault="00896556" w:rsidP="00896556">
      <w:pPr>
        <w:autoSpaceDE w:val="0"/>
        <w:autoSpaceDN w:val="0"/>
        <w:adjustRightInd w:val="0"/>
        <w:snapToGrid w:val="0"/>
        <w:spacing w:line="480" w:lineRule="auto"/>
        <w:jc w:val="center"/>
        <w:rPr>
          <w:b/>
          <w:color w:val="000000"/>
          <w:u w:val="single"/>
        </w:rPr>
      </w:pPr>
      <w:r w:rsidRPr="00E71163">
        <w:rPr>
          <w:b/>
          <w:color w:val="000000"/>
          <w:u w:val="single"/>
        </w:rPr>
        <w:t>FEES APPROVED</w:t>
      </w:r>
    </w:p>
    <w:p w14:paraId="628B9823" w14:textId="0C9D2A54"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 xml:space="preserve">The application by Lead Counsel for the award of attorneys’ fees and reimbursement of expenses is granted, and said counsel are awarded legal fees equaling </w:t>
      </w:r>
      <w:r w:rsidRPr="00E71163">
        <w:rPr>
          <w:color w:val="000000"/>
          <w:highlight w:val="yellow"/>
        </w:rPr>
        <w:t>__</w:t>
      </w:r>
      <w:r w:rsidRPr="00E71163">
        <w:rPr>
          <w:color w:val="000000"/>
        </w:rPr>
        <w:t xml:space="preserve"> % of the Settlement Amount, and expenses of $ </w:t>
      </w:r>
      <w:r w:rsidRPr="00E71163">
        <w:rPr>
          <w:color w:val="000000"/>
          <w:highlight w:val="yellow"/>
        </w:rPr>
        <w:t>________</w:t>
      </w:r>
      <w:r w:rsidR="006B0DCC">
        <w:rPr>
          <w:color w:val="000000"/>
        </w:rPr>
        <w:t xml:space="preserve">. In addition, </w:t>
      </w:r>
      <w:r w:rsidR="0068532F">
        <w:rPr>
          <w:color w:val="000000"/>
        </w:rPr>
        <w:t xml:space="preserve">each named </w:t>
      </w:r>
      <w:r w:rsidR="006B0DCC">
        <w:rPr>
          <w:color w:val="000000"/>
        </w:rPr>
        <w:t>Plaintiff</w:t>
      </w:r>
      <w:r w:rsidR="0068532F">
        <w:rPr>
          <w:color w:val="000000"/>
        </w:rPr>
        <w:t xml:space="preserve"> is</w:t>
      </w:r>
      <w:r w:rsidR="006B0DCC">
        <w:rPr>
          <w:color w:val="000000"/>
        </w:rPr>
        <w:t xml:space="preserve"> </w:t>
      </w:r>
      <w:r w:rsidR="002E2E04">
        <w:rPr>
          <w:color w:val="000000"/>
        </w:rPr>
        <w:t>awarded a Class Representative Incentive Award in the amount of $</w:t>
      </w:r>
      <w:r w:rsidR="002E2E04" w:rsidRPr="002E2E04">
        <w:rPr>
          <w:color w:val="000000"/>
          <w:highlight w:val="yellow"/>
        </w:rPr>
        <w:t>_________</w:t>
      </w:r>
      <w:r w:rsidR="002E2E04">
        <w:rPr>
          <w:color w:val="000000"/>
        </w:rPr>
        <w:t xml:space="preserve">. </w:t>
      </w:r>
      <w:r w:rsidRPr="00E71163">
        <w:rPr>
          <w:color w:val="000000"/>
        </w:rPr>
        <w:t xml:space="preserve">Said fees and expenses </w:t>
      </w:r>
      <w:r w:rsidR="002E2E04">
        <w:rPr>
          <w:color w:val="000000"/>
        </w:rPr>
        <w:t xml:space="preserve">and Class Representative Incentive Award </w:t>
      </w:r>
      <w:r w:rsidRPr="00E71163">
        <w:rPr>
          <w:color w:val="000000"/>
        </w:rPr>
        <w:t xml:space="preserve">shall be deducted from the Settlement Amount in the manner prescribed in the Stipulation. </w:t>
      </w:r>
    </w:p>
    <w:p w14:paraId="795EAF00" w14:textId="164513BC"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 xml:space="preserve">All Class Members who have not requested exclusion and </w:t>
      </w:r>
      <w:r w:rsidR="00746BD8">
        <w:rPr>
          <w:color w:val="000000"/>
        </w:rPr>
        <w:t>Plaintiff</w:t>
      </w:r>
      <w:r w:rsidR="006B0DCC">
        <w:rPr>
          <w:color w:val="000000"/>
        </w:rPr>
        <w:t>s</w:t>
      </w:r>
      <w:r w:rsidRPr="00E71163">
        <w:rPr>
          <w:color w:val="000000"/>
        </w:rPr>
        <w:t xml:space="preserve"> are barred and enjoined from commencing, prosecuting, instigating or in any way participating in the commencement or prosecution of any action asserting any claims asserted in this Action, either </w:t>
      </w:r>
      <w:r w:rsidRPr="00E71163">
        <w:rPr>
          <w:color w:val="000000"/>
        </w:rPr>
        <w:lastRenderedPageBreak/>
        <w:t>directly, representatively, derivatively, or in any ot</w:t>
      </w:r>
      <w:r w:rsidR="00746BD8">
        <w:rPr>
          <w:color w:val="000000"/>
        </w:rPr>
        <w:t>her capacity, against Defendant</w:t>
      </w:r>
      <w:r w:rsidR="005020E4">
        <w:rPr>
          <w:color w:val="000000"/>
        </w:rPr>
        <w:t>s</w:t>
      </w:r>
      <w:r w:rsidRPr="00E71163">
        <w:rPr>
          <w:color w:val="000000"/>
        </w:rPr>
        <w:t xml:space="preserve"> or any of the parties released in the Stipulation.</w:t>
      </w:r>
    </w:p>
    <w:p w14:paraId="406C9A2C" w14:textId="4A05B09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Neither the Stipulation nor any proceedings taken in accordance with the terms set forth therein shall be construed or deemed to be evidence, or any presumption, admission or concession, eith</w:t>
      </w:r>
      <w:r w:rsidR="00746BD8">
        <w:rPr>
          <w:color w:val="000000"/>
        </w:rPr>
        <w:t>er (a) on the part of Plaintiff</w:t>
      </w:r>
      <w:r w:rsidR="006B0DCC">
        <w:rPr>
          <w:color w:val="000000"/>
        </w:rPr>
        <w:t>s</w:t>
      </w:r>
      <w:r w:rsidRPr="00E71163">
        <w:rPr>
          <w:color w:val="000000"/>
        </w:rPr>
        <w:t xml:space="preserve">, of the lack of merit of this Action, </w:t>
      </w:r>
      <w:r w:rsidR="00746BD8">
        <w:rPr>
          <w:color w:val="000000"/>
        </w:rPr>
        <w:t>or (b) on the part of Defendant</w:t>
      </w:r>
      <w:r w:rsidR="005020E4">
        <w:rPr>
          <w:color w:val="000000"/>
        </w:rPr>
        <w:t>s</w:t>
      </w:r>
      <w:r w:rsidRPr="00E71163">
        <w:rPr>
          <w:color w:val="000000"/>
        </w:rPr>
        <w:t>, of any violation of any statute or regulation or principle of common law, or of any fault, liability, or wrongdoing as to any facts or claims alleged or asserted in the Action, or any other action or proceeding, or that any person or entity has suffered any damages as a result of any matter that underlies any of the allegations or claims that were or could have been brought in the Action, and shall not be interpreted, construed, deemed, invoked, offered, or received in evidence or otherwise used by any person in the Action, or in any other action or proceeding, whether civil, criminal, or administrative, except for any litigation or judicial proceeding arising out of or relating to the enforcement of this Stipulation or the Settlement.  Any such evidence, admission or concession is expressly denied and disclaimed by each of the Plain</w:t>
      </w:r>
      <w:r w:rsidR="00746BD8">
        <w:rPr>
          <w:color w:val="000000"/>
        </w:rPr>
        <w:t>tiff</w:t>
      </w:r>
      <w:r w:rsidR="006B0DCC">
        <w:rPr>
          <w:color w:val="000000"/>
        </w:rPr>
        <w:t>s</w:t>
      </w:r>
      <w:r w:rsidR="00746BD8">
        <w:rPr>
          <w:color w:val="000000"/>
        </w:rPr>
        <w:t xml:space="preserve"> and each of the</w:t>
      </w:r>
      <w:r w:rsidR="005020E4">
        <w:rPr>
          <w:color w:val="000000"/>
        </w:rPr>
        <w:t xml:space="preserve"> Defendants.</w:t>
      </w:r>
    </w:p>
    <w:p w14:paraId="2163578A" w14:textId="77777777" w:rsidR="00896556" w:rsidRPr="00E71163" w:rsidRDefault="00896556" w:rsidP="00896556">
      <w:pPr>
        <w:pStyle w:val="ListParagraph"/>
        <w:numPr>
          <w:ilvl w:val="0"/>
          <w:numId w:val="4"/>
        </w:numPr>
        <w:autoSpaceDE w:val="0"/>
        <w:autoSpaceDN w:val="0"/>
        <w:adjustRightInd w:val="0"/>
        <w:snapToGrid w:val="0"/>
        <w:spacing w:line="480" w:lineRule="auto"/>
        <w:ind w:left="0" w:firstLine="720"/>
        <w:contextualSpacing w:val="0"/>
        <w:rPr>
          <w:color w:val="000000"/>
        </w:rPr>
      </w:pPr>
      <w:r w:rsidRPr="00E71163">
        <w:rPr>
          <w:color w:val="000000"/>
        </w:rPr>
        <w:t xml:space="preserve">Without in any way affecting the finality of this Order and Final Judgment, this Court shall retain continuing jurisdiction over this Action and the Parties to the Stipulation and the Class Members in order to: (a) effectuate the implementation of the Settlement; (b) enforce the terms of this Stipulation including, but not limited to, the releases provided herein; (c) hear all claims, defenses and counterclaims relating to the interpretation and enforcement of this Stipulation before and after the Effective Date as the Court deems appropriate; (d) review all challenges to final administrative determinations brought by Opt-Outs; (e) determine all other matters relevant to this Stipulation; (f) to enter any further orders as may be necessary or </w:t>
      </w:r>
      <w:r w:rsidRPr="00E71163">
        <w:rPr>
          <w:color w:val="000000"/>
        </w:rPr>
        <w:lastRenderedPageBreak/>
        <w:t>appropriate to effectuate the Stipulation, the Settlement, and the provisions of this Order and Final Judgment.</w:t>
      </w:r>
    </w:p>
    <w:p w14:paraId="7B21FC88" w14:textId="28B3C08F" w:rsidR="00896556" w:rsidRPr="00E71163" w:rsidRDefault="00896556" w:rsidP="00896556">
      <w:pPr>
        <w:autoSpaceDE w:val="0"/>
        <w:autoSpaceDN w:val="0"/>
        <w:adjustRightInd w:val="0"/>
        <w:snapToGrid w:val="0"/>
        <w:rPr>
          <w:color w:val="000000"/>
        </w:rPr>
      </w:pPr>
      <w:r w:rsidRPr="00E71163">
        <w:rPr>
          <w:color w:val="000000"/>
        </w:rPr>
        <w:t>Dated</w:t>
      </w:r>
      <w:r w:rsidR="0068532F">
        <w:rPr>
          <w:color w:val="000000"/>
        </w:rPr>
        <w:t>: New York</w:t>
      </w:r>
      <w:r w:rsidRPr="00E71163">
        <w:rPr>
          <w:color w:val="000000"/>
        </w:rPr>
        <w:t>, New York</w:t>
      </w:r>
    </w:p>
    <w:p w14:paraId="61E1DE79" w14:textId="77777777" w:rsidR="00896556" w:rsidRPr="00E71163" w:rsidRDefault="00896556" w:rsidP="00896556">
      <w:pPr>
        <w:autoSpaceDE w:val="0"/>
        <w:autoSpaceDN w:val="0"/>
        <w:adjustRightInd w:val="0"/>
        <w:snapToGrid w:val="0"/>
        <w:rPr>
          <w:color w:val="000000"/>
        </w:rPr>
      </w:pPr>
      <w:r w:rsidRPr="00E71163">
        <w:rPr>
          <w:color w:val="000000"/>
        </w:rPr>
        <w:tab/>
        <w:t>_________________</w:t>
      </w:r>
    </w:p>
    <w:p w14:paraId="3120A58B" w14:textId="77777777" w:rsidR="00896556" w:rsidRPr="00E71163" w:rsidRDefault="00896556" w:rsidP="00896556">
      <w:pPr>
        <w:autoSpaceDE w:val="0"/>
        <w:autoSpaceDN w:val="0"/>
        <w:adjustRightInd w:val="0"/>
        <w:snapToGrid w:val="0"/>
        <w:spacing w:line="480" w:lineRule="auto"/>
        <w:rPr>
          <w:color w:val="000000"/>
        </w:rPr>
      </w:pPr>
    </w:p>
    <w:p w14:paraId="4C7B9A51" w14:textId="77777777" w:rsidR="00896556" w:rsidRPr="00E71163" w:rsidRDefault="00896556" w:rsidP="00896556">
      <w:pPr>
        <w:autoSpaceDE w:val="0"/>
        <w:autoSpaceDN w:val="0"/>
        <w:adjustRightInd w:val="0"/>
        <w:snapToGrid w:val="0"/>
        <w:spacing w:line="480" w:lineRule="auto"/>
        <w:rPr>
          <w:b/>
          <w:color w:val="000000"/>
        </w:rPr>
      </w:pPr>
      <w:r w:rsidRPr="00E71163">
        <w:rPr>
          <w:color w:val="000000"/>
        </w:rPr>
        <w:tab/>
      </w:r>
      <w:r w:rsidRPr="00E71163">
        <w:rPr>
          <w:color w:val="000000"/>
        </w:rPr>
        <w:tab/>
      </w:r>
      <w:r w:rsidRPr="00E71163">
        <w:rPr>
          <w:color w:val="000000"/>
        </w:rPr>
        <w:tab/>
      </w:r>
      <w:r w:rsidRPr="00E71163">
        <w:rPr>
          <w:color w:val="000000"/>
        </w:rPr>
        <w:tab/>
      </w:r>
      <w:r w:rsidRPr="00E71163">
        <w:rPr>
          <w:color w:val="000000"/>
        </w:rPr>
        <w:tab/>
      </w:r>
      <w:r w:rsidRPr="00E71163">
        <w:rPr>
          <w:color w:val="000000"/>
        </w:rPr>
        <w:tab/>
      </w:r>
      <w:r w:rsidRPr="00E71163">
        <w:rPr>
          <w:color w:val="000000"/>
        </w:rPr>
        <w:tab/>
      </w:r>
      <w:r w:rsidRPr="00E71163">
        <w:rPr>
          <w:color w:val="000000"/>
        </w:rPr>
        <w:tab/>
      </w:r>
      <w:r w:rsidRPr="00E71163">
        <w:rPr>
          <w:b/>
          <w:color w:val="000000"/>
        </w:rPr>
        <w:t>ENTER:</w:t>
      </w:r>
    </w:p>
    <w:p w14:paraId="3CDBE094" w14:textId="77777777" w:rsidR="00896556" w:rsidRPr="00E71163" w:rsidRDefault="00896556" w:rsidP="00896556">
      <w:pPr>
        <w:autoSpaceDE w:val="0"/>
        <w:autoSpaceDN w:val="0"/>
        <w:adjustRightInd w:val="0"/>
        <w:snapToGrid w:val="0"/>
        <w:rPr>
          <w:b/>
          <w:color w:val="000000"/>
        </w:rPr>
      </w:pP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t>______________________________</w:t>
      </w:r>
    </w:p>
    <w:p w14:paraId="5A436EB9" w14:textId="77777777" w:rsidR="00896556" w:rsidRPr="00E71163" w:rsidRDefault="00896556" w:rsidP="00896556">
      <w:pPr>
        <w:autoSpaceDE w:val="0"/>
        <w:autoSpaceDN w:val="0"/>
        <w:adjustRightInd w:val="0"/>
        <w:snapToGrid w:val="0"/>
        <w:spacing w:line="480" w:lineRule="auto"/>
        <w:rPr>
          <w:b/>
          <w:color w:val="000000"/>
        </w:rPr>
      </w:pP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r>
      <w:r w:rsidRPr="00E71163">
        <w:rPr>
          <w:b/>
          <w:color w:val="000000"/>
        </w:rPr>
        <w:tab/>
        <w:t>J. S. C.</w:t>
      </w:r>
    </w:p>
    <w:p w14:paraId="67FB8AB1" w14:textId="77777777" w:rsidR="00896556" w:rsidRPr="00E71163" w:rsidRDefault="00896556" w:rsidP="00896556">
      <w:pPr>
        <w:autoSpaceDE w:val="0"/>
        <w:autoSpaceDN w:val="0"/>
        <w:adjustRightInd w:val="0"/>
        <w:snapToGrid w:val="0"/>
        <w:ind w:left="5760"/>
        <w:rPr>
          <w:b/>
          <w:color w:val="000000"/>
        </w:rPr>
      </w:pPr>
    </w:p>
    <w:p w14:paraId="3804A030" w14:textId="77777777" w:rsidR="00365E2C" w:rsidRDefault="00365E2C"/>
    <w:sectPr w:rsidR="00365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88710" w14:textId="77777777" w:rsidR="00896556" w:rsidRDefault="00896556" w:rsidP="00896556">
      <w:r>
        <w:separator/>
      </w:r>
    </w:p>
  </w:endnote>
  <w:endnote w:type="continuationSeparator" w:id="0">
    <w:p w14:paraId="67F24867" w14:textId="77777777" w:rsidR="00896556" w:rsidRDefault="00896556" w:rsidP="0089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936C" w14:textId="77777777" w:rsidR="00896556" w:rsidRDefault="00896556" w:rsidP="00896556">
      <w:r>
        <w:separator/>
      </w:r>
    </w:p>
  </w:footnote>
  <w:footnote w:type="continuationSeparator" w:id="0">
    <w:p w14:paraId="3531564D" w14:textId="77777777" w:rsidR="00896556" w:rsidRDefault="00896556" w:rsidP="00896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59A8"/>
    <w:multiLevelType w:val="hybridMultilevel"/>
    <w:tmpl w:val="24C05722"/>
    <w:lvl w:ilvl="0" w:tplc="1DDE433E">
      <w:start w:val="1"/>
      <w:numFmt w:val="upperLetter"/>
      <w:lvlText w:val="%1."/>
      <w:lvlJc w:val="left"/>
      <w:pPr>
        <w:ind w:left="720" w:hanging="360"/>
      </w:pPr>
      <w:rPr>
        <w:rFonts w:hint="default"/>
      </w:rPr>
    </w:lvl>
    <w:lvl w:ilvl="1" w:tplc="116A8A90" w:tentative="1">
      <w:start w:val="1"/>
      <w:numFmt w:val="lowerLetter"/>
      <w:lvlText w:val="%2."/>
      <w:lvlJc w:val="left"/>
      <w:pPr>
        <w:ind w:left="1440" w:hanging="360"/>
      </w:pPr>
    </w:lvl>
    <w:lvl w:ilvl="2" w:tplc="4C42CEC8" w:tentative="1">
      <w:start w:val="1"/>
      <w:numFmt w:val="lowerRoman"/>
      <w:lvlText w:val="%3."/>
      <w:lvlJc w:val="right"/>
      <w:pPr>
        <w:ind w:left="2160" w:hanging="180"/>
      </w:pPr>
    </w:lvl>
    <w:lvl w:ilvl="3" w:tplc="84FC579A" w:tentative="1">
      <w:start w:val="1"/>
      <w:numFmt w:val="decimal"/>
      <w:lvlText w:val="%4."/>
      <w:lvlJc w:val="left"/>
      <w:pPr>
        <w:ind w:left="2880" w:hanging="360"/>
      </w:pPr>
    </w:lvl>
    <w:lvl w:ilvl="4" w:tplc="FF608E38" w:tentative="1">
      <w:start w:val="1"/>
      <w:numFmt w:val="lowerLetter"/>
      <w:lvlText w:val="%5."/>
      <w:lvlJc w:val="left"/>
      <w:pPr>
        <w:ind w:left="3600" w:hanging="360"/>
      </w:pPr>
    </w:lvl>
    <w:lvl w:ilvl="5" w:tplc="6C8EDCD6" w:tentative="1">
      <w:start w:val="1"/>
      <w:numFmt w:val="lowerRoman"/>
      <w:lvlText w:val="%6."/>
      <w:lvlJc w:val="right"/>
      <w:pPr>
        <w:ind w:left="4320" w:hanging="180"/>
      </w:pPr>
    </w:lvl>
    <w:lvl w:ilvl="6" w:tplc="94D2C332" w:tentative="1">
      <w:start w:val="1"/>
      <w:numFmt w:val="decimal"/>
      <w:lvlText w:val="%7."/>
      <w:lvlJc w:val="left"/>
      <w:pPr>
        <w:ind w:left="5040" w:hanging="360"/>
      </w:pPr>
    </w:lvl>
    <w:lvl w:ilvl="7" w:tplc="D92AC10E" w:tentative="1">
      <w:start w:val="1"/>
      <w:numFmt w:val="lowerLetter"/>
      <w:lvlText w:val="%8."/>
      <w:lvlJc w:val="left"/>
      <w:pPr>
        <w:ind w:left="5760" w:hanging="360"/>
      </w:pPr>
    </w:lvl>
    <w:lvl w:ilvl="8" w:tplc="DA86ED02" w:tentative="1">
      <w:start w:val="1"/>
      <w:numFmt w:val="lowerRoman"/>
      <w:lvlText w:val="%9."/>
      <w:lvlJc w:val="right"/>
      <w:pPr>
        <w:ind w:left="6480" w:hanging="180"/>
      </w:pPr>
    </w:lvl>
  </w:abstractNum>
  <w:abstractNum w:abstractNumId="1" w15:restartNumberingAfterBreak="0">
    <w:nsid w:val="290F6C46"/>
    <w:multiLevelType w:val="hybridMultilevel"/>
    <w:tmpl w:val="42541DD8"/>
    <w:lvl w:ilvl="0" w:tplc="844CF340">
      <w:start w:val="1"/>
      <w:numFmt w:val="decimal"/>
      <w:lvlText w:val="%1."/>
      <w:lvlJc w:val="left"/>
      <w:pPr>
        <w:ind w:left="720" w:hanging="360"/>
      </w:pPr>
      <w:rPr>
        <w:rFonts w:hint="default"/>
      </w:rPr>
    </w:lvl>
    <w:lvl w:ilvl="1" w:tplc="87984292">
      <w:start w:val="1"/>
      <w:numFmt w:val="lowerLetter"/>
      <w:lvlText w:val="%2."/>
      <w:lvlJc w:val="left"/>
      <w:pPr>
        <w:ind w:left="1440" w:hanging="360"/>
      </w:pPr>
    </w:lvl>
    <w:lvl w:ilvl="2" w:tplc="25F0F480">
      <w:start w:val="1"/>
      <w:numFmt w:val="lowerRoman"/>
      <w:lvlText w:val="%3."/>
      <w:lvlJc w:val="right"/>
      <w:pPr>
        <w:ind w:left="2160" w:hanging="180"/>
      </w:pPr>
    </w:lvl>
    <w:lvl w:ilvl="3" w:tplc="8AEE54DA" w:tentative="1">
      <w:start w:val="1"/>
      <w:numFmt w:val="decimal"/>
      <w:lvlText w:val="%4."/>
      <w:lvlJc w:val="left"/>
      <w:pPr>
        <w:ind w:left="2880" w:hanging="360"/>
      </w:pPr>
    </w:lvl>
    <w:lvl w:ilvl="4" w:tplc="B85C3DFC" w:tentative="1">
      <w:start w:val="1"/>
      <w:numFmt w:val="lowerLetter"/>
      <w:lvlText w:val="%5."/>
      <w:lvlJc w:val="left"/>
      <w:pPr>
        <w:ind w:left="3600" w:hanging="360"/>
      </w:pPr>
    </w:lvl>
    <w:lvl w:ilvl="5" w:tplc="5490B304" w:tentative="1">
      <w:start w:val="1"/>
      <w:numFmt w:val="lowerRoman"/>
      <w:lvlText w:val="%6."/>
      <w:lvlJc w:val="right"/>
      <w:pPr>
        <w:ind w:left="4320" w:hanging="180"/>
      </w:pPr>
    </w:lvl>
    <w:lvl w:ilvl="6" w:tplc="170C8560" w:tentative="1">
      <w:start w:val="1"/>
      <w:numFmt w:val="decimal"/>
      <w:lvlText w:val="%7."/>
      <w:lvlJc w:val="left"/>
      <w:pPr>
        <w:ind w:left="5040" w:hanging="360"/>
      </w:pPr>
    </w:lvl>
    <w:lvl w:ilvl="7" w:tplc="49C221D2" w:tentative="1">
      <w:start w:val="1"/>
      <w:numFmt w:val="lowerLetter"/>
      <w:lvlText w:val="%8."/>
      <w:lvlJc w:val="left"/>
      <w:pPr>
        <w:ind w:left="5760" w:hanging="360"/>
      </w:pPr>
    </w:lvl>
    <w:lvl w:ilvl="8" w:tplc="C952D40E" w:tentative="1">
      <w:start w:val="1"/>
      <w:numFmt w:val="lowerRoman"/>
      <w:lvlText w:val="%9."/>
      <w:lvlJc w:val="right"/>
      <w:pPr>
        <w:ind w:left="6480" w:hanging="180"/>
      </w:pPr>
    </w:lvl>
  </w:abstractNum>
  <w:abstractNum w:abstractNumId="2" w15:restartNumberingAfterBreak="0">
    <w:nsid w:val="2A373242"/>
    <w:multiLevelType w:val="multilevel"/>
    <w:tmpl w:val="2662C158"/>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3" w15:restartNumberingAfterBreak="0">
    <w:nsid w:val="446E00A6"/>
    <w:multiLevelType w:val="hybridMultilevel"/>
    <w:tmpl w:val="B800725A"/>
    <w:lvl w:ilvl="0" w:tplc="CC8233EE">
      <w:numFmt w:val="bullet"/>
      <w:lvlText w:val="-"/>
      <w:lvlJc w:val="left"/>
      <w:pPr>
        <w:ind w:left="1680" w:hanging="360"/>
      </w:pPr>
      <w:rPr>
        <w:rFonts w:ascii="Times New Roman" w:eastAsia="Calibri"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15:restartNumberingAfterBreak="0">
    <w:nsid w:val="52357664"/>
    <w:multiLevelType w:val="hybridMultilevel"/>
    <w:tmpl w:val="5F3E5D24"/>
    <w:lvl w:ilvl="0" w:tplc="EC9EF3CC">
      <w:start w:val="1"/>
      <w:numFmt w:val="decimal"/>
      <w:lvlText w:val="%1."/>
      <w:lvlJc w:val="left"/>
      <w:pPr>
        <w:ind w:left="720" w:hanging="360"/>
      </w:pPr>
    </w:lvl>
    <w:lvl w:ilvl="1" w:tplc="84CA9DD0">
      <w:start w:val="1"/>
      <w:numFmt w:val="lowerLetter"/>
      <w:lvlText w:val="%2."/>
      <w:lvlJc w:val="left"/>
      <w:pPr>
        <w:ind w:left="1440" w:hanging="360"/>
      </w:pPr>
    </w:lvl>
    <w:lvl w:ilvl="2" w:tplc="D19035AC" w:tentative="1">
      <w:start w:val="1"/>
      <w:numFmt w:val="lowerRoman"/>
      <w:lvlText w:val="%3."/>
      <w:lvlJc w:val="right"/>
      <w:pPr>
        <w:ind w:left="2160" w:hanging="180"/>
      </w:pPr>
    </w:lvl>
    <w:lvl w:ilvl="3" w:tplc="7BFA8DB6" w:tentative="1">
      <w:start w:val="1"/>
      <w:numFmt w:val="decimal"/>
      <w:lvlText w:val="%4."/>
      <w:lvlJc w:val="left"/>
      <w:pPr>
        <w:ind w:left="2880" w:hanging="360"/>
      </w:pPr>
    </w:lvl>
    <w:lvl w:ilvl="4" w:tplc="E0E0B65C" w:tentative="1">
      <w:start w:val="1"/>
      <w:numFmt w:val="lowerLetter"/>
      <w:lvlText w:val="%5."/>
      <w:lvlJc w:val="left"/>
      <w:pPr>
        <w:ind w:left="3600" w:hanging="360"/>
      </w:pPr>
    </w:lvl>
    <w:lvl w:ilvl="5" w:tplc="76A624BA" w:tentative="1">
      <w:start w:val="1"/>
      <w:numFmt w:val="lowerRoman"/>
      <w:lvlText w:val="%6."/>
      <w:lvlJc w:val="right"/>
      <w:pPr>
        <w:ind w:left="4320" w:hanging="180"/>
      </w:pPr>
    </w:lvl>
    <w:lvl w:ilvl="6" w:tplc="595478AA" w:tentative="1">
      <w:start w:val="1"/>
      <w:numFmt w:val="decimal"/>
      <w:lvlText w:val="%7."/>
      <w:lvlJc w:val="left"/>
      <w:pPr>
        <w:ind w:left="5040" w:hanging="360"/>
      </w:pPr>
    </w:lvl>
    <w:lvl w:ilvl="7" w:tplc="9AF41EAE" w:tentative="1">
      <w:start w:val="1"/>
      <w:numFmt w:val="lowerLetter"/>
      <w:lvlText w:val="%8."/>
      <w:lvlJc w:val="left"/>
      <w:pPr>
        <w:ind w:left="5760" w:hanging="360"/>
      </w:pPr>
    </w:lvl>
    <w:lvl w:ilvl="8" w:tplc="4CBC27C0" w:tentative="1">
      <w:start w:val="1"/>
      <w:numFmt w:val="lowerRoman"/>
      <w:lvlText w:val="%9."/>
      <w:lvlJc w:val="right"/>
      <w:pPr>
        <w:ind w:left="6480" w:hanging="180"/>
      </w:pPr>
    </w:lvl>
  </w:abstractNum>
  <w:num w:numId="1" w16cid:durableId="301663256">
    <w:abstractNumId w:val="2"/>
  </w:num>
  <w:num w:numId="2" w16cid:durableId="1945839301">
    <w:abstractNumId w:val="1"/>
  </w:num>
  <w:num w:numId="3" w16cid:durableId="286400557">
    <w:abstractNumId w:val="0"/>
  </w:num>
  <w:num w:numId="4" w16cid:durableId="222330523">
    <w:abstractNumId w:val="4"/>
  </w:num>
  <w:num w:numId="5" w16cid:durableId="33557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56"/>
    <w:rsid w:val="002E2E04"/>
    <w:rsid w:val="00302E9D"/>
    <w:rsid w:val="00365E2C"/>
    <w:rsid w:val="005020E4"/>
    <w:rsid w:val="00656EDD"/>
    <w:rsid w:val="0068532F"/>
    <w:rsid w:val="006A49F7"/>
    <w:rsid w:val="006B0DCC"/>
    <w:rsid w:val="00746BD8"/>
    <w:rsid w:val="00896556"/>
    <w:rsid w:val="00A36B19"/>
    <w:rsid w:val="00A423AE"/>
    <w:rsid w:val="00CF3F8C"/>
    <w:rsid w:val="00F4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BCA2"/>
  <w15:chartTrackingRefBased/>
  <w15:docId w15:val="{07A53CEB-E8CA-4753-B5DD-F8828F22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5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896556"/>
    <w:pPr>
      <w:numPr>
        <w:numId w:val="1"/>
      </w:numPr>
      <w:spacing w:after="240"/>
      <w:outlineLvl w:val="0"/>
    </w:pPr>
    <w:rPr>
      <w:szCs w:val="20"/>
    </w:rPr>
  </w:style>
  <w:style w:type="paragraph" w:styleId="Heading2">
    <w:name w:val="heading 2"/>
    <w:basedOn w:val="Normal"/>
    <w:next w:val="BodyText"/>
    <w:link w:val="Heading2Char"/>
    <w:qFormat/>
    <w:rsid w:val="00896556"/>
    <w:pPr>
      <w:numPr>
        <w:ilvl w:val="1"/>
        <w:numId w:val="1"/>
      </w:numPr>
      <w:spacing w:after="240"/>
      <w:outlineLvl w:val="1"/>
    </w:pPr>
    <w:rPr>
      <w:szCs w:val="20"/>
    </w:rPr>
  </w:style>
  <w:style w:type="paragraph" w:styleId="Heading3">
    <w:name w:val="heading 3"/>
    <w:basedOn w:val="Normal"/>
    <w:next w:val="BodyText"/>
    <w:link w:val="Heading3Char"/>
    <w:qFormat/>
    <w:rsid w:val="00896556"/>
    <w:pPr>
      <w:numPr>
        <w:ilvl w:val="2"/>
        <w:numId w:val="1"/>
      </w:numPr>
      <w:spacing w:after="240"/>
      <w:outlineLvl w:val="2"/>
    </w:pPr>
    <w:rPr>
      <w:szCs w:val="20"/>
    </w:rPr>
  </w:style>
  <w:style w:type="paragraph" w:styleId="Heading4">
    <w:name w:val="heading 4"/>
    <w:basedOn w:val="Normal"/>
    <w:next w:val="BodyText"/>
    <w:link w:val="Heading4Char"/>
    <w:qFormat/>
    <w:rsid w:val="00896556"/>
    <w:pPr>
      <w:numPr>
        <w:ilvl w:val="3"/>
        <w:numId w:val="1"/>
      </w:numPr>
      <w:spacing w:after="240"/>
      <w:outlineLvl w:val="3"/>
    </w:pPr>
    <w:rPr>
      <w:szCs w:val="20"/>
    </w:rPr>
  </w:style>
  <w:style w:type="paragraph" w:styleId="Heading5">
    <w:name w:val="heading 5"/>
    <w:basedOn w:val="Normal"/>
    <w:next w:val="BodyText"/>
    <w:link w:val="Heading5Char"/>
    <w:qFormat/>
    <w:rsid w:val="00896556"/>
    <w:pPr>
      <w:numPr>
        <w:ilvl w:val="4"/>
        <w:numId w:val="1"/>
      </w:numPr>
      <w:spacing w:after="240"/>
      <w:outlineLvl w:val="4"/>
    </w:pPr>
    <w:rPr>
      <w:szCs w:val="20"/>
    </w:rPr>
  </w:style>
  <w:style w:type="paragraph" w:styleId="Heading6">
    <w:name w:val="heading 6"/>
    <w:basedOn w:val="Normal"/>
    <w:next w:val="Normal"/>
    <w:link w:val="Heading6Char"/>
    <w:uiPriority w:val="9"/>
    <w:qFormat/>
    <w:rsid w:val="00896556"/>
    <w:pPr>
      <w:numPr>
        <w:ilvl w:val="5"/>
        <w:numId w:val="1"/>
      </w:numPr>
      <w:spacing w:after="240"/>
      <w:outlineLvl w:val="5"/>
    </w:pPr>
    <w:rPr>
      <w:szCs w:val="20"/>
    </w:rPr>
  </w:style>
  <w:style w:type="paragraph" w:styleId="Heading7">
    <w:name w:val="heading 7"/>
    <w:basedOn w:val="Normal"/>
    <w:next w:val="Normal"/>
    <w:link w:val="Heading7Char"/>
    <w:qFormat/>
    <w:rsid w:val="00896556"/>
    <w:pPr>
      <w:numPr>
        <w:ilvl w:val="6"/>
        <w:numId w:val="1"/>
      </w:numPr>
      <w:spacing w:after="240"/>
      <w:outlineLvl w:val="6"/>
    </w:pPr>
    <w:rPr>
      <w:szCs w:val="20"/>
    </w:rPr>
  </w:style>
  <w:style w:type="paragraph" w:styleId="Heading8">
    <w:name w:val="heading 8"/>
    <w:basedOn w:val="Normal"/>
    <w:next w:val="Normal"/>
    <w:link w:val="Heading8Char"/>
    <w:qFormat/>
    <w:rsid w:val="00896556"/>
    <w:pPr>
      <w:numPr>
        <w:ilvl w:val="7"/>
        <w:numId w:val="1"/>
      </w:numPr>
      <w:spacing w:after="240"/>
      <w:outlineLvl w:val="7"/>
    </w:pPr>
    <w:rPr>
      <w:szCs w:val="20"/>
    </w:rPr>
  </w:style>
  <w:style w:type="paragraph" w:styleId="Heading9">
    <w:name w:val="heading 9"/>
    <w:basedOn w:val="Normal"/>
    <w:next w:val="Normal"/>
    <w:link w:val="Heading9Char"/>
    <w:qFormat/>
    <w:rsid w:val="00896556"/>
    <w:pPr>
      <w:numPr>
        <w:ilvl w:val="8"/>
        <w:numId w:val="1"/>
      </w:numPr>
      <w:spacing w:after="240"/>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55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9655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89655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9655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9655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89655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89655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89655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896556"/>
    <w:rPr>
      <w:rFonts w:ascii="Times New Roman" w:eastAsia="Times New Roman" w:hAnsi="Times New Roman" w:cs="Times New Roman"/>
      <w:sz w:val="24"/>
      <w:szCs w:val="20"/>
    </w:rPr>
  </w:style>
  <w:style w:type="paragraph" w:styleId="BodyText">
    <w:name w:val="Body Text"/>
    <w:basedOn w:val="Normal"/>
    <w:link w:val="BodyTextChar"/>
    <w:uiPriority w:val="1"/>
    <w:qFormat/>
    <w:rsid w:val="00896556"/>
    <w:pPr>
      <w:spacing w:after="240"/>
    </w:pPr>
    <w:rPr>
      <w:szCs w:val="20"/>
    </w:rPr>
  </w:style>
  <w:style w:type="character" w:customStyle="1" w:styleId="BodyTextChar">
    <w:name w:val="Body Text Char"/>
    <w:basedOn w:val="DefaultParagraphFont"/>
    <w:link w:val="BodyText"/>
    <w:uiPriority w:val="1"/>
    <w:rsid w:val="00896556"/>
    <w:rPr>
      <w:rFonts w:ascii="Times New Roman" w:eastAsia="Times New Roman" w:hAnsi="Times New Roman" w:cs="Times New Roman"/>
      <w:sz w:val="24"/>
      <w:szCs w:val="20"/>
    </w:rPr>
  </w:style>
  <w:style w:type="paragraph" w:styleId="Header">
    <w:name w:val="header"/>
    <w:basedOn w:val="Normal"/>
    <w:link w:val="HeaderChar"/>
    <w:rsid w:val="00896556"/>
    <w:pPr>
      <w:tabs>
        <w:tab w:val="center" w:pos="4320"/>
        <w:tab w:val="right" w:pos="8640"/>
      </w:tabs>
    </w:pPr>
  </w:style>
  <w:style w:type="character" w:customStyle="1" w:styleId="HeaderChar">
    <w:name w:val="Header Char"/>
    <w:basedOn w:val="DefaultParagraphFont"/>
    <w:link w:val="Header"/>
    <w:rsid w:val="00896556"/>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896556"/>
    <w:rPr>
      <w:vertAlign w:val="superscript"/>
    </w:rPr>
  </w:style>
  <w:style w:type="paragraph" w:styleId="FootnoteText">
    <w:name w:val="footnote text"/>
    <w:basedOn w:val="Normal"/>
    <w:link w:val="FootnoteTextChar"/>
    <w:semiHidden/>
    <w:unhideWhenUsed/>
    <w:rsid w:val="00896556"/>
    <w:rPr>
      <w:sz w:val="20"/>
      <w:szCs w:val="20"/>
    </w:rPr>
  </w:style>
  <w:style w:type="character" w:customStyle="1" w:styleId="FootnoteTextChar">
    <w:name w:val="Footnote Text Char"/>
    <w:basedOn w:val="DefaultParagraphFont"/>
    <w:link w:val="FootnoteText"/>
    <w:semiHidden/>
    <w:rsid w:val="00896556"/>
    <w:rPr>
      <w:rFonts w:ascii="Times New Roman" w:eastAsia="Times New Roman" w:hAnsi="Times New Roman" w:cs="Times New Roman"/>
      <w:sz w:val="20"/>
      <w:szCs w:val="20"/>
    </w:rPr>
  </w:style>
  <w:style w:type="paragraph" w:styleId="ListParagraph">
    <w:name w:val="List Paragraph"/>
    <w:basedOn w:val="Normal"/>
    <w:uiPriority w:val="34"/>
    <w:qFormat/>
    <w:rsid w:val="00896556"/>
    <w:pPr>
      <w:ind w:left="720"/>
      <w:contextualSpacing/>
    </w:pPr>
  </w:style>
  <w:style w:type="table" w:styleId="TableGrid">
    <w:name w:val="Table Grid"/>
    <w:basedOn w:val="TableNormal"/>
    <w:rsid w:val="008965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 Sachar</dc:creator>
  <cp:keywords/>
  <dc:description/>
  <cp:lastModifiedBy>Roger A. Sachar</cp:lastModifiedBy>
  <cp:revision>5</cp:revision>
  <dcterms:created xsi:type="dcterms:W3CDTF">2023-02-14T18:04:00Z</dcterms:created>
  <dcterms:modified xsi:type="dcterms:W3CDTF">2025-05-05T18:06:00Z</dcterms:modified>
</cp:coreProperties>
</file>